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C3246" w14:textId="77777777" w:rsidR="00E101E2" w:rsidRPr="00120728" w:rsidRDefault="00E101E2" w:rsidP="00985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20728">
        <w:rPr>
          <w:rFonts w:ascii="Times New Roman" w:hAnsi="Times New Roman"/>
          <w:b/>
          <w:bCs/>
          <w:sz w:val="28"/>
          <w:szCs w:val="28"/>
          <w:lang w:val="kk-KZ"/>
        </w:rPr>
        <w:t>АННОТАЦИЯ</w:t>
      </w:r>
    </w:p>
    <w:p w14:paraId="1B21749C" w14:textId="525F5CBD" w:rsidR="00E101E2" w:rsidRDefault="00E101E2" w:rsidP="006D30CA">
      <w:pPr>
        <w:pStyle w:val="8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kk-KZ"/>
        </w:rPr>
      </w:pP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диссертационной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работы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B1078A">
        <w:rPr>
          <w:rFonts w:ascii="Times New Roman" w:hAnsi="Times New Roman"/>
          <w:b/>
          <w:bCs/>
          <w:sz w:val="28"/>
          <w:szCs w:val="28"/>
          <w:lang w:val="kk-KZ"/>
        </w:rPr>
        <w:t>Кукановой</w:t>
      </w:r>
      <w:proofErr w:type="spellEnd"/>
      <w:r w:rsidR="00B1078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B1078A">
        <w:rPr>
          <w:rFonts w:ascii="Times New Roman" w:hAnsi="Times New Roman"/>
          <w:b/>
          <w:bCs/>
          <w:sz w:val="28"/>
          <w:szCs w:val="28"/>
          <w:lang w:val="kk-KZ"/>
        </w:rPr>
        <w:t>Асии</w:t>
      </w:r>
      <w:proofErr w:type="spellEnd"/>
      <w:r w:rsidR="00B1078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B1078A">
        <w:rPr>
          <w:rFonts w:ascii="Times New Roman" w:hAnsi="Times New Roman"/>
          <w:b/>
          <w:bCs/>
          <w:sz w:val="28"/>
          <w:szCs w:val="28"/>
          <w:lang w:val="kk-KZ"/>
        </w:rPr>
        <w:t>Маратовны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на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тему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: «</w:t>
      </w:r>
      <w:r w:rsidR="00B1078A" w:rsidRPr="00B1078A">
        <w:rPr>
          <w:rFonts w:ascii="Times New Roman" w:hAnsi="Times New Roman"/>
          <w:b/>
          <w:bCs/>
          <w:color w:val="auto"/>
          <w:sz w:val="28"/>
          <w:szCs w:val="28"/>
        </w:rPr>
        <w:t xml:space="preserve">Подавление KRAS мутации </w:t>
      </w:r>
      <w:proofErr w:type="spellStart"/>
      <w:r w:rsidR="00B1078A" w:rsidRPr="00B1078A">
        <w:rPr>
          <w:rFonts w:ascii="Times New Roman" w:hAnsi="Times New Roman"/>
          <w:b/>
          <w:bCs/>
          <w:color w:val="auto"/>
          <w:sz w:val="28"/>
          <w:szCs w:val="28"/>
        </w:rPr>
        <w:t>колоректального</w:t>
      </w:r>
      <w:proofErr w:type="spellEnd"/>
      <w:r w:rsidR="00B1078A" w:rsidRPr="00B1078A">
        <w:rPr>
          <w:rFonts w:ascii="Times New Roman" w:hAnsi="Times New Roman"/>
          <w:b/>
          <w:bCs/>
          <w:color w:val="auto"/>
          <w:sz w:val="28"/>
          <w:szCs w:val="28"/>
        </w:rPr>
        <w:t xml:space="preserve"> рака при помощи воздействия оксидативного стресса у больных</w:t>
      </w:r>
      <w:r w:rsidR="006D30C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1078A" w:rsidRPr="00B1078A">
        <w:rPr>
          <w:rFonts w:ascii="Times New Roman" w:hAnsi="Times New Roman"/>
          <w:b/>
          <w:bCs/>
          <w:color w:val="auto"/>
          <w:sz w:val="28"/>
          <w:szCs w:val="28"/>
        </w:rPr>
        <w:t>после хирургического лечения</w:t>
      </w:r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»,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представленной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на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соискание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степени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доктора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философии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(</w:t>
      </w:r>
      <w:r w:rsidRPr="009856DF">
        <w:rPr>
          <w:rFonts w:ascii="Times New Roman" w:hAnsi="Times New Roman"/>
          <w:b/>
          <w:bCs/>
          <w:sz w:val="28"/>
          <w:szCs w:val="28"/>
          <w:lang w:val="en-US"/>
        </w:rPr>
        <w:t>PhD</w:t>
      </w:r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)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по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>специальности</w:t>
      </w:r>
      <w:proofErr w:type="spellEnd"/>
      <w:r w:rsidRPr="009856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B1078A" w:rsidRPr="00B1078A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8D10102 – Медицина</w:t>
      </w:r>
    </w:p>
    <w:p w14:paraId="5102EEA8" w14:textId="77777777" w:rsidR="006D30CA" w:rsidRPr="006D30CA" w:rsidRDefault="006D30CA" w:rsidP="006D30CA">
      <w:pPr>
        <w:rPr>
          <w:lang w:val="kk-KZ"/>
        </w:rPr>
      </w:pPr>
    </w:p>
    <w:p w14:paraId="6D833B98" w14:textId="77777777" w:rsidR="00CD263D" w:rsidRPr="00145B66" w:rsidRDefault="00CD263D" w:rsidP="009856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исследования</w:t>
      </w:r>
    </w:p>
    <w:p w14:paraId="41FC583E" w14:textId="070CCB49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данным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ВОЗ,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колоректальный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рак (КРР)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занимает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третье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место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структуре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онкозаболеваемости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второе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место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онкосмертности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всему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миру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является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одной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из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глобальных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проблем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мирового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здравоохранения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В 2020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году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новых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случаев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заболеваемости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колоректальным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раком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составила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1931590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случаев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а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смертность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935173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случая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(9,4%)  (GLOBOCAN 2020).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Согласно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статистическим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данным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КазНИИОР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2019-2020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гг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ситуация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колоректальному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раку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Казахстане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выглядит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также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как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всем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мире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КРР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занимает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3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место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структуре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онкопатологии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как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заболеваемости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так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смертности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>. (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Показатели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онкологической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службы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Республики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Казахстан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77469D">
        <w:rPr>
          <w:rFonts w:ascii="Times New Roman" w:hAnsi="Times New Roman"/>
          <w:sz w:val="28"/>
          <w:szCs w:val="28"/>
          <w:lang w:val="kk-KZ"/>
        </w:rPr>
        <w:t>23</w:t>
      </w:r>
      <w:r w:rsidRPr="00B1078A">
        <w:rPr>
          <w:rFonts w:ascii="Times New Roman" w:hAnsi="Times New Roman"/>
          <w:sz w:val="28"/>
          <w:szCs w:val="28"/>
          <w:lang w:val="kk-KZ"/>
        </w:rPr>
        <w:t xml:space="preserve"> г.,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КазНИИОР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>).</w:t>
      </w:r>
    </w:p>
    <w:p w14:paraId="08D2146C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Стандартными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видами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лечения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КРР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являются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–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хирургическое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лечение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химиотерапия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моно-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или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полирежиме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последние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годы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для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лечения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диссеминированных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форм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применяются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таргетные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препараты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направленного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действия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молекулы-мишени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опухолевых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клетках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Использование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таргетной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терапии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позволило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отдельных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случаях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добиться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увеличения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выживаемости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пациентов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метастатическим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КРР.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Режимы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FOLFIRI/FOLFOX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или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CAPIRI/CAPOX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по-прежнему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являются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основой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для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химиотерапии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КРР.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Таргетные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препараты,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такие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как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ингибиторы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рецептора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эпидермального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фактора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роста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сосудистого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эндотелиального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фактора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роста,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входят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комбинированные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схемы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лечения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основе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химиотерапевтических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режимов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представляются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перспективными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точки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зрения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эффективности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безопасности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(Андреев Д.А.,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Завьялов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А.А.,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Кокушкин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К.А.,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Давыдовская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М.В., 2018г.). </w:t>
      </w:r>
    </w:p>
    <w:p w14:paraId="7E663B29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Определение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статуса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мутаций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генах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KRAS и NRAS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является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необходимым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требованием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лечении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пациентов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 КРР.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Пациенты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определенными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мутациями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генах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KRAS и NRAS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являются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резистентными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терапии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анти-EGFR-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препаратами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имеют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медиану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выживаемости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ниже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чем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WT (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wild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type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генотипах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что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говорит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о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негативном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прогнозе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случае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наличия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мутаций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Наличие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мутантного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аллеля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одном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из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этих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генов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говорит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о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неблагоприятных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прогнозах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для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пациента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нечувствительности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 анти-EGFR-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терапии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настоящий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момент не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существует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официально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зарегистрированного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препарата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ингибирующего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ГТФазы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Ras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Бровкина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О.И.,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Никитин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А.Г. М, 2020г.).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ходе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эксперементальных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исследований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было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отмечено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что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культивируемые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клетки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КРР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человека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содержащие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мутации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или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BRAF,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избирательно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погибают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воздействии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высоких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уровней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витамина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Этот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эффект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обусловлен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повышенным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поглощением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окисленной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lastRenderedPageBreak/>
        <w:t>формы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витамина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дегидроаскорбата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(ДГА),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через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транспортер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глюкозы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GLUT1.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Повышенное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поглощение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ДГА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вызывает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окислительный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стресс,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поскольку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внутриклеточная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ДГК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снижается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до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витамина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С,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истощая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глутатион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Таким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образом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активные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формы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кислорода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накапливаются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инактивируют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глицеральдегид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3-фосфатдегидрогеназу (GAPDH).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Ингибирование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GAPDH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высокогликолитических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клетках-мутантах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или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BRAF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приводит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энергетическому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кризису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гибели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клеток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которые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не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наблюдаются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клетках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дикого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типа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KRAS и BRAF (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Jihye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Yun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, и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соавтр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., 2015г.). </w:t>
      </w:r>
    </w:p>
    <w:p w14:paraId="10D09462" w14:textId="77777777" w:rsid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Данные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этих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исследований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позволяют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обосновать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дальнейшее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изучение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влияния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высоких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доз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ДГА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KRAS-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мутантные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клетки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КРР с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целью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улучшения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терапевтического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ответа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>.</w:t>
      </w:r>
    </w:p>
    <w:p w14:paraId="1DB6E15A" w14:textId="77777777" w:rsidR="00B1078A" w:rsidRPr="006D74FA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74FA">
        <w:rPr>
          <w:rFonts w:ascii="Times New Roman" w:hAnsi="Times New Roman"/>
          <w:b/>
          <w:sz w:val="28"/>
          <w:szCs w:val="28"/>
        </w:rPr>
        <w:t xml:space="preserve">Цель исследования: </w:t>
      </w:r>
    </w:p>
    <w:p w14:paraId="0BF00095" w14:textId="77777777" w:rsidR="00B1078A" w:rsidRPr="006D74FA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D74FA">
        <w:rPr>
          <w:rFonts w:ascii="Times New Roman" w:hAnsi="Times New Roman"/>
          <w:bCs/>
          <w:sz w:val="28"/>
          <w:szCs w:val="28"/>
        </w:rPr>
        <w:t xml:space="preserve">Разработка терапии лечения </w:t>
      </w:r>
      <w:proofErr w:type="spellStart"/>
      <w:r w:rsidRPr="006D74FA">
        <w:rPr>
          <w:rFonts w:ascii="Times New Roman" w:hAnsi="Times New Roman"/>
          <w:bCs/>
          <w:sz w:val="28"/>
          <w:szCs w:val="28"/>
        </w:rPr>
        <w:t>колоректального</w:t>
      </w:r>
      <w:proofErr w:type="spellEnd"/>
      <w:r w:rsidRPr="006D74FA">
        <w:rPr>
          <w:rFonts w:ascii="Times New Roman" w:hAnsi="Times New Roman"/>
          <w:bCs/>
          <w:sz w:val="28"/>
          <w:szCs w:val="28"/>
        </w:rPr>
        <w:t xml:space="preserve"> рака посредством комбинации окислительных препаратов, нацеленных на </w:t>
      </w:r>
      <w:proofErr w:type="spellStart"/>
      <w:r w:rsidRPr="006D74FA">
        <w:rPr>
          <w:rFonts w:ascii="Times New Roman" w:hAnsi="Times New Roman"/>
          <w:bCs/>
          <w:sz w:val="28"/>
          <w:szCs w:val="28"/>
        </w:rPr>
        <w:t>kras</w:t>
      </w:r>
      <w:proofErr w:type="spellEnd"/>
      <w:r w:rsidRPr="006D74FA">
        <w:rPr>
          <w:rFonts w:ascii="Times New Roman" w:hAnsi="Times New Roman"/>
          <w:bCs/>
          <w:sz w:val="28"/>
          <w:szCs w:val="28"/>
        </w:rPr>
        <w:t xml:space="preserve"> мутантные раковые клетки. </w:t>
      </w:r>
    </w:p>
    <w:p w14:paraId="1153012A" w14:textId="77777777" w:rsidR="00B1078A" w:rsidRPr="006D74FA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74FA">
        <w:rPr>
          <w:rFonts w:ascii="Times New Roman" w:hAnsi="Times New Roman"/>
          <w:b/>
          <w:sz w:val="28"/>
          <w:szCs w:val="28"/>
        </w:rPr>
        <w:t>Объект исследования:</w:t>
      </w:r>
    </w:p>
    <w:p w14:paraId="3860621A" w14:textId="10DF67CB" w:rsidR="00B1078A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Больные</w:t>
      </w:r>
      <w:r w:rsidRPr="006D74FA">
        <w:rPr>
          <w:rFonts w:ascii="Times New Roman" w:hAnsi="Times New Roman"/>
          <w:bCs/>
          <w:sz w:val="28"/>
          <w:szCs w:val="28"/>
        </w:rPr>
        <w:t xml:space="preserve"> с диагнозом </w:t>
      </w:r>
      <w:proofErr w:type="spellStart"/>
      <w:r w:rsidRPr="006D74FA">
        <w:rPr>
          <w:rFonts w:ascii="Times New Roman" w:hAnsi="Times New Roman"/>
          <w:bCs/>
          <w:sz w:val="28"/>
          <w:szCs w:val="28"/>
        </w:rPr>
        <w:t>колоректальный</w:t>
      </w:r>
      <w:proofErr w:type="spellEnd"/>
      <w:r w:rsidRPr="006D74FA">
        <w:rPr>
          <w:rFonts w:ascii="Times New Roman" w:hAnsi="Times New Roman"/>
          <w:bCs/>
          <w:sz w:val="28"/>
          <w:szCs w:val="28"/>
        </w:rPr>
        <w:t xml:space="preserve"> рак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F1C4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F1C47">
        <w:rPr>
          <w:rFonts w:ascii="Times New Roman" w:hAnsi="Times New Roman"/>
          <w:bCs/>
          <w:sz w:val="28"/>
          <w:szCs w:val="28"/>
        </w:rPr>
        <w:t xml:space="preserve">, </w:t>
      </w:r>
      <w:r w:rsidRPr="006D74FA">
        <w:rPr>
          <w:rFonts w:ascii="Times New Roman" w:hAnsi="Times New Roman"/>
          <w:bCs/>
          <w:sz w:val="28"/>
          <w:szCs w:val="28"/>
        </w:rPr>
        <w:t>III, IV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4FA">
        <w:rPr>
          <w:rFonts w:ascii="Times New Roman" w:hAnsi="Times New Roman"/>
          <w:bCs/>
          <w:sz w:val="28"/>
          <w:szCs w:val="28"/>
        </w:rPr>
        <w:t>ст</w:t>
      </w:r>
      <w:r>
        <w:rPr>
          <w:rFonts w:ascii="Times New Roman" w:hAnsi="Times New Roman"/>
          <w:bCs/>
          <w:sz w:val="28"/>
          <w:szCs w:val="28"/>
        </w:rPr>
        <w:t>адии</w:t>
      </w:r>
      <w:r w:rsidRPr="006D74FA">
        <w:rPr>
          <w:rFonts w:ascii="Times New Roman" w:hAnsi="Times New Roman"/>
          <w:bCs/>
          <w:sz w:val="28"/>
          <w:szCs w:val="28"/>
        </w:rPr>
        <w:t>, имеющи</w:t>
      </w:r>
      <w:r>
        <w:rPr>
          <w:rFonts w:ascii="Times New Roman" w:hAnsi="Times New Roman"/>
          <w:bCs/>
          <w:sz w:val="28"/>
          <w:szCs w:val="28"/>
        </w:rPr>
        <w:t>е</w:t>
      </w:r>
      <w:r w:rsidRPr="006D74FA">
        <w:rPr>
          <w:rFonts w:ascii="Times New Roman" w:hAnsi="Times New Roman"/>
          <w:bCs/>
          <w:sz w:val="28"/>
          <w:szCs w:val="28"/>
        </w:rPr>
        <w:t xml:space="preserve"> подтвержденный статус мутации KRAS. </w:t>
      </w:r>
    </w:p>
    <w:p w14:paraId="64A061F9" w14:textId="77777777" w:rsidR="00B1078A" w:rsidRPr="005F1C47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F1C47">
        <w:rPr>
          <w:rFonts w:ascii="Times New Roman" w:hAnsi="Times New Roman"/>
          <w:b/>
          <w:sz w:val="28"/>
          <w:szCs w:val="28"/>
        </w:rPr>
        <w:t>Предмет исследования:</w:t>
      </w:r>
    </w:p>
    <w:p w14:paraId="77DB8830" w14:textId="77777777" w:rsidR="00B1078A" w:rsidRPr="005F1C47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Мутация </w:t>
      </w:r>
      <w:r>
        <w:rPr>
          <w:rFonts w:ascii="Times New Roman" w:hAnsi="Times New Roman"/>
          <w:bCs/>
          <w:sz w:val="28"/>
          <w:szCs w:val="28"/>
          <w:lang w:val="en-US"/>
        </w:rPr>
        <w:t>KRAS</w:t>
      </w:r>
      <w:r w:rsidRPr="005F1C4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 больных с </w:t>
      </w:r>
      <w:proofErr w:type="spellStart"/>
      <w:r>
        <w:rPr>
          <w:rFonts w:ascii="Times New Roman" w:hAnsi="Times New Roman"/>
          <w:bCs/>
          <w:sz w:val="28"/>
          <w:szCs w:val="28"/>
        </w:rPr>
        <w:t>колоректальным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раком после хирургического лечения.</w:t>
      </w:r>
    </w:p>
    <w:p w14:paraId="3C048782" w14:textId="77777777" w:rsidR="00B1078A" w:rsidRPr="006D74FA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74FA">
        <w:rPr>
          <w:rFonts w:ascii="Times New Roman" w:hAnsi="Times New Roman"/>
          <w:b/>
          <w:sz w:val="28"/>
          <w:szCs w:val="28"/>
        </w:rPr>
        <w:t>Задачи исследования:</w:t>
      </w:r>
    </w:p>
    <w:p w14:paraId="267B133D" w14:textId="77777777" w:rsidR="000F64FC" w:rsidRPr="000F64FC" w:rsidRDefault="000F64FC" w:rsidP="000F64F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F64FC">
        <w:rPr>
          <w:rFonts w:ascii="Times New Roman" w:hAnsi="Times New Roman"/>
          <w:bCs/>
          <w:sz w:val="28"/>
          <w:szCs w:val="28"/>
        </w:rPr>
        <w:t>1.</w:t>
      </w:r>
      <w:r w:rsidRPr="000F64FC">
        <w:rPr>
          <w:rFonts w:ascii="Times New Roman" w:hAnsi="Times New Roman"/>
          <w:bCs/>
          <w:sz w:val="28"/>
          <w:szCs w:val="28"/>
        </w:rPr>
        <w:tab/>
        <w:t xml:space="preserve">Оценить клинико-эпидемиологические характеристики пациентов с </w:t>
      </w:r>
      <w:proofErr w:type="spellStart"/>
      <w:r w:rsidRPr="000F64FC">
        <w:rPr>
          <w:rFonts w:ascii="Times New Roman" w:hAnsi="Times New Roman"/>
          <w:bCs/>
          <w:sz w:val="28"/>
          <w:szCs w:val="28"/>
        </w:rPr>
        <w:t>колоректальным</w:t>
      </w:r>
      <w:proofErr w:type="spellEnd"/>
      <w:r w:rsidRPr="000F64FC">
        <w:rPr>
          <w:rFonts w:ascii="Times New Roman" w:hAnsi="Times New Roman"/>
          <w:bCs/>
          <w:sz w:val="28"/>
          <w:szCs w:val="28"/>
        </w:rPr>
        <w:t xml:space="preserve"> раком. </w:t>
      </w:r>
    </w:p>
    <w:p w14:paraId="5A9DCD3F" w14:textId="77777777" w:rsidR="000F64FC" w:rsidRPr="000F64FC" w:rsidRDefault="000F64FC" w:rsidP="000F64F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F64FC">
        <w:rPr>
          <w:rFonts w:ascii="Times New Roman" w:hAnsi="Times New Roman"/>
          <w:bCs/>
          <w:sz w:val="28"/>
          <w:szCs w:val="28"/>
        </w:rPr>
        <w:t>2.</w:t>
      </w:r>
      <w:r w:rsidRPr="000F64FC">
        <w:rPr>
          <w:rFonts w:ascii="Times New Roman" w:hAnsi="Times New Roman"/>
          <w:bCs/>
          <w:sz w:val="28"/>
          <w:szCs w:val="28"/>
        </w:rPr>
        <w:tab/>
        <w:t xml:space="preserve">Изучить взаимосвязь между клинико-патологическими характеристиками КРР и статусом мутации гена KRAS. </w:t>
      </w:r>
    </w:p>
    <w:p w14:paraId="72D7CBAA" w14:textId="77777777" w:rsidR="000F64FC" w:rsidRPr="000F64FC" w:rsidRDefault="000F64FC" w:rsidP="000F64F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F64FC">
        <w:rPr>
          <w:rFonts w:ascii="Times New Roman" w:hAnsi="Times New Roman"/>
          <w:bCs/>
          <w:sz w:val="28"/>
          <w:szCs w:val="28"/>
        </w:rPr>
        <w:t>3.</w:t>
      </w:r>
      <w:r w:rsidRPr="000F64FC">
        <w:rPr>
          <w:rFonts w:ascii="Times New Roman" w:hAnsi="Times New Roman"/>
          <w:bCs/>
          <w:sz w:val="28"/>
          <w:szCs w:val="28"/>
        </w:rPr>
        <w:tab/>
        <w:t xml:space="preserve">Оценить влияние KRAS G12D мутации на митохондриальный окислительный стресс и чувствительность клеток к комбинации препаратов ATO/D-VC. </w:t>
      </w:r>
    </w:p>
    <w:p w14:paraId="5BAD3A88" w14:textId="77777777" w:rsidR="000F64FC" w:rsidRPr="000F64FC" w:rsidRDefault="000F64FC" w:rsidP="000F64F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F64FC">
        <w:rPr>
          <w:rFonts w:ascii="Times New Roman" w:hAnsi="Times New Roman"/>
          <w:bCs/>
          <w:sz w:val="28"/>
          <w:szCs w:val="28"/>
        </w:rPr>
        <w:t>4.</w:t>
      </w:r>
      <w:r w:rsidRPr="000F64FC">
        <w:rPr>
          <w:rFonts w:ascii="Times New Roman" w:hAnsi="Times New Roman"/>
          <w:bCs/>
          <w:sz w:val="28"/>
          <w:szCs w:val="28"/>
        </w:rPr>
        <w:tab/>
        <w:t xml:space="preserve">Проверить эффективность комбинации препаратов ATO и D-VC в подавлении роста опухолей с мутацией KRAS G12D </w:t>
      </w:r>
      <w:proofErr w:type="spellStart"/>
      <w:r w:rsidRPr="000F64FC">
        <w:rPr>
          <w:rFonts w:ascii="Times New Roman" w:hAnsi="Times New Roman"/>
          <w:bCs/>
          <w:sz w:val="28"/>
          <w:szCs w:val="28"/>
        </w:rPr>
        <w:t>in</w:t>
      </w:r>
      <w:proofErr w:type="spellEnd"/>
      <w:r w:rsidRPr="000F64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F64FC">
        <w:rPr>
          <w:rFonts w:ascii="Times New Roman" w:hAnsi="Times New Roman"/>
          <w:bCs/>
          <w:sz w:val="28"/>
          <w:szCs w:val="28"/>
        </w:rPr>
        <w:t>vivo</w:t>
      </w:r>
      <w:proofErr w:type="spellEnd"/>
      <w:r w:rsidRPr="000F64FC">
        <w:rPr>
          <w:rFonts w:ascii="Times New Roman" w:hAnsi="Times New Roman"/>
          <w:bCs/>
          <w:sz w:val="28"/>
          <w:szCs w:val="28"/>
        </w:rPr>
        <w:t xml:space="preserve"> на модели </w:t>
      </w:r>
      <w:proofErr w:type="spellStart"/>
      <w:r w:rsidRPr="000F64FC">
        <w:rPr>
          <w:rFonts w:ascii="Times New Roman" w:hAnsi="Times New Roman"/>
          <w:bCs/>
          <w:sz w:val="28"/>
          <w:szCs w:val="28"/>
        </w:rPr>
        <w:t>ксенотрансплантатов</w:t>
      </w:r>
      <w:proofErr w:type="spellEnd"/>
      <w:r w:rsidRPr="000F64FC">
        <w:rPr>
          <w:rFonts w:ascii="Times New Roman" w:hAnsi="Times New Roman"/>
          <w:bCs/>
          <w:sz w:val="28"/>
          <w:szCs w:val="28"/>
        </w:rPr>
        <w:t xml:space="preserve">. </w:t>
      </w:r>
    </w:p>
    <w:p w14:paraId="267ECE92" w14:textId="77777777" w:rsidR="000F64FC" w:rsidRDefault="000F64FC" w:rsidP="000F64F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F64FC">
        <w:rPr>
          <w:rFonts w:ascii="Times New Roman" w:hAnsi="Times New Roman"/>
          <w:bCs/>
          <w:sz w:val="28"/>
          <w:szCs w:val="28"/>
        </w:rPr>
        <w:t>5.</w:t>
      </w:r>
      <w:r w:rsidRPr="000F64FC">
        <w:rPr>
          <w:rFonts w:ascii="Times New Roman" w:hAnsi="Times New Roman"/>
          <w:bCs/>
          <w:sz w:val="28"/>
          <w:szCs w:val="28"/>
        </w:rPr>
        <w:tab/>
        <w:t xml:space="preserve">Разработка рекомендаций по применению и комбинированию окислительных препаратов при </w:t>
      </w:r>
      <w:proofErr w:type="spellStart"/>
      <w:r w:rsidRPr="000F64FC">
        <w:rPr>
          <w:rFonts w:ascii="Times New Roman" w:hAnsi="Times New Roman"/>
          <w:bCs/>
          <w:sz w:val="28"/>
          <w:szCs w:val="28"/>
        </w:rPr>
        <w:t>колоректальном</w:t>
      </w:r>
      <w:proofErr w:type="spellEnd"/>
      <w:r w:rsidRPr="000F64FC">
        <w:rPr>
          <w:rFonts w:ascii="Times New Roman" w:hAnsi="Times New Roman"/>
          <w:bCs/>
          <w:sz w:val="28"/>
          <w:szCs w:val="28"/>
        </w:rPr>
        <w:t xml:space="preserve"> раке.</w:t>
      </w:r>
    </w:p>
    <w:p w14:paraId="245E50AF" w14:textId="0B3FB7E7" w:rsidR="00B1078A" w:rsidRPr="006D74FA" w:rsidRDefault="00B1078A" w:rsidP="000F64F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Научная новизна</w:t>
      </w:r>
      <w:r w:rsidRPr="006D74FA">
        <w:rPr>
          <w:rFonts w:ascii="Times New Roman" w:hAnsi="Times New Roman"/>
          <w:b/>
          <w:sz w:val="28"/>
          <w:szCs w:val="28"/>
        </w:rPr>
        <w:t>:</w:t>
      </w:r>
    </w:p>
    <w:p w14:paraId="23385A54" w14:textId="3DF63F1C" w:rsidR="008D6C51" w:rsidRPr="003A3CE2" w:rsidRDefault="008D6C51" w:rsidP="008D6C5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A3CE2">
        <w:rPr>
          <w:rFonts w:ascii="Times New Roman" w:hAnsi="Times New Roman"/>
          <w:bCs/>
          <w:sz w:val="28"/>
          <w:szCs w:val="28"/>
        </w:rPr>
        <w:t>Определены прогностические факторы, обуславливающие правостороннюю локализацию мутации KRAS «дикого типа» и левостороннюю локализацию мутации KRAS G12D, G13D, которые влияют на распространенность и агрессивность заболевания.</w:t>
      </w:r>
    </w:p>
    <w:p w14:paraId="43EE16D1" w14:textId="77777777" w:rsidR="008D6C51" w:rsidRDefault="008D6C51" w:rsidP="008D6C5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A3CE2">
        <w:rPr>
          <w:rFonts w:ascii="Times New Roman" w:hAnsi="Times New Roman"/>
          <w:bCs/>
          <w:sz w:val="28"/>
          <w:szCs w:val="28"/>
        </w:rPr>
        <w:t xml:space="preserve">Впервые проведены экспериментальные биохимические исследования </w:t>
      </w:r>
      <w:proofErr w:type="spellStart"/>
      <w:r w:rsidRPr="003A3CE2">
        <w:rPr>
          <w:rFonts w:ascii="Times New Roman" w:hAnsi="Times New Roman"/>
          <w:bCs/>
          <w:sz w:val="28"/>
          <w:szCs w:val="28"/>
        </w:rPr>
        <w:t>митохондриально</w:t>
      </w:r>
      <w:proofErr w:type="spellEnd"/>
      <w:r w:rsidRPr="003A3CE2">
        <w:rPr>
          <w:rFonts w:ascii="Times New Roman" w:hAnsi="Times New Roman"/>
          <w:bCs/>
          <w:sz w:val="28"/>
          <w:szCs w:val="28"/>
        </w:rPr>
        <w:t xml:space="preserve">-зависимой продукции АФК, индуцированной комбинацией окислительных препаратов ATO/D-VC, D-VC, ATO/L-VC и L-VC в KRAS мутантных клетках </w:t>
      </w:r>
      <w:proofErr w:type="spellStart"/>
      <w:r w:rsidRPr="003A3CE2">
        <w:rPr>
          <w:rFonts w:ascii="Times New Roman" w:hAnsi="Times New Roman"/>
          <w:bCs/>
          <w:sz w:val="28"/>
          <w:szCs w:val="28"/>
        </w:rPr>
        <w:t>колоректального</w:t>
      </w:r>
      <w:proofErr w:type="spellEnd"/>
      <w:r w:rsidRPr="003A3CE2">
        <w:rPr>
          <w:rFonts w:ascii="Times New Roman" w:hAnsi="Times New Roman"/>
          <w:bCs/>
          <w:sz w:val="28"/>
          <w:szCs w:val="28"/>
        </w:rPr>
        <w:t xml:space="preserve"> рака и произведено регулирование метода детекции АФК. Комбинация ATO и D-VC показала высокую </w:t>
      </w:r>
      <w:r w:rsidRPr="003A3CE2">
        <w:rPr>
          <w:rFonts w:ascii="Times New Roman" w:hAnsi="Times New Roman"/>
          <w:bCs/>
          <w:sz w:val="28"/>
          <w:szCs w:val="28"/>
        </w:rPr>
        <w:lastRenderedPageBreak/>
        <w:t>эффективность, вызывая гибель до 80% KRAS мутантных клеток через 48 часов и значительное увеличение окислительного стресса.</w:t>
      </w:r>
      <w:r w:rsidRPr="003A3CE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6A72BA" w14:textId="77777777" w:rsidR="00B1078A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04C1C">
        <w:rPr>
          <w:rFonts w:ascii="Times New Roman" w:hAnsi="Times New Roman"/>
          <w:b/>
          <w:bCs/>
          <w:sz w:val="28"/>
          <w:szCs w:val="28"/>
        </w:rPr>
        <w:t>Положения, выносимые на защиту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17BA714" w14:textId="77777777" w:rsidR="00E956C5" w:rsidRPr="00E956C5" w:rsidRDefault="00E956C5" w:rsidP="00E956C5">
      <w:pPr>
        <w:pStyle w:val="a3"/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Hlk191501679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Комбинация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препаратов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ATO и D-VC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действует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вызывая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митохондриальную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генерацию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АФК и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цитотоксический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окислительный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стресс KRAS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мутантных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раковых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клеток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14:paraId="5FC5A4EC" w14:textId="77777777" w:rsidR="00E956C5" w:rsidRPr="00E956C5" w:rsidRDefault="00E956C5" w:rsidP="00E956C5">
      <w:pPr>
        <w:pStyle w:val="a3"/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Комбинация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препаратов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ATO/D-VC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эффективен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в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подавлении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опухолевого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роста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мутантных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E956C5">
        <w:rPr>
          <w:rFonts w:ascii="Times New Roman" w:hAnsi="Times New Roman"/>
          <w:bCs/>
          <w:sz w:val="28"/>
          <w:szCs w:val="28"/>
          <w:lang w:val="kk-KZ"/>
        </w:rPr>
        <w:t>опухолей</w:t>
      </w:r>
      <w:proofErr w:type="spellEnd"/>
      <w:r w:rsidRPr="00E956C5">
        <w:rPr>
          <w:rFonts w:ascii="Times New Roman" w:hAnsi="Times New Roman"/>
          <w:bCs/>
          <w:sz w:val="28"/>
          <w:szCs w:val="28"/>
          <w:lang w:val="kk-KZ"/>
        </w:rPr>
        <w:t xml:space="preserve"> KRAS G12D. </w:t>
      </w:r>
    </w:p>
    <w:bookmarkEnd w:id="0"/>
    <w:p w14:paraId="5D441B6E" w14:textId="77777777" w:rsidR="00B14DAF" w:rsidRPr="00145B66" w:rsidRDefault="00B14DAF" w:rsidP="00B14DA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45B66">
        <w:rPr>
          <w:rFonts w:ascii="Times New Roman" w:hAnsi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85B7AAE" w14:textId="77777777" w:rsidR="00E956C5" w:rsidRPr="00E956C5" w:rsidRDefault="00E956C5" w:rsidP="00E95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E956C5">
        <w:rPr>
          <w:rFonts w:ascii="Times New Roman" w:hAnsi="Times New Roman"/>
          <w:sz w:val="28"/>
          <w:szCs w:val="28"/>
        </w:rPr>
        <w:t xml:space="preserve">Разработана комбинация окислительных препаратов АТО/D-VC для супрессии KRAS-мутантных клеток </w:t>
      </w:r>
      <w:proofErr w:type="spellStart"/>
      <w:r w:rsidRPr="00E956C5">
        <w:rPr>
          <w:rFonts w:ascii="Times New Roman" w:hAnsi="Times New Roman"/>
          <w:sz w:val="28"/>
          <w:szCs w:val="28"/>
        </w:rPr>
        <w:t>колоректального</w:t>
      </w:r>
      <w:proofErr w:type="spellEnd"/>
      <w:r w:rsidRPr="00E956C5">
        <w:rPr>
          <w:rFonts w:ascii="Times New Roman" w:hAnsi="Times New Roman"/>
          <w:sz w:val="28"/>
          <w:szCs w:val="28"/>
        </w:rPr>
        <w:t xml:space="preserve"> рака. </w:t>
      </w:r>
    </w:p>
    <w:p w14:paraId="087E110C" w14:textId="77777777" w:rsidR="00E956C5" w:rsidRPr="00E956C5" w:rsidRDefault="00E956C5" w:rsidP="00E95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E956C5">
        <w:rPr>
          <w:rFonts w:ascii="Times New Roman" w:hAnsi="Times New Roman"/>
          <w:sz w:val="28"/>
          <w:szCs w:val="28"/>
        </w:rPr>
        <w:t xml:space="preserve">Наши результаты указывают на терапевтический потенциал для разработки нового типа противоопухолевой терапии и выход на клинические исследования. </w:t>
      </w:r>
    </w:p>
    <w:p w14:paraId="6760B6CC" w14:textId="77777777" w:rsidR="00E956C5" w:rsidRPr="00E956C5" w:rsidRDefault="00E956C5" w:rsidP="00E95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E956C5">
        <w:rPr>
          <w:rFonts w:ascii="Times New Roman" w:hAnsi="Times New Roman"/>
          <w:sz w:val="28"/>
          <w:szCs w:val="28"/>
        </w:rPr>
        <w:t xml:space="preserve">Научный проект №0122РК00015 от 16 октября 2023 года «Разработка противораковой терапии путем индуцированного </w:t>
      </w:r>
      <w:proofErr w:type="spellStart"/>
      <w:r w:rsidRPr="00E956C5">
        <w:rPr>
          <w:rFonts w:ascii="Times New Roman" w:hAnsi="Times New Roman"/>
          <w:sz w:val="28"/>
          <w:szCs w:val="28"/>
        </w:rPr>
        <w:t>глюкозозависимого</w:t>
      </w:r>
      <w:proofErr w:type="spellEnd"/>
      <w:r w:rsidRPr="00E956C5">
        <w:rPr>
          <w:rFonts w:ascii="Times New Roman" w:hAnsi="Times New Roman"/>
          <w:sz w:val="28"/>
          <w:szCs w:val="28"/>
        </w:rPr>
        <w:t xml:space="preserve"> цитотоксического окислительного стресса». Клинические исследование </w:t>
      </w:r>
      <w:r w:rsidRPr="00E956C5">
        <w:rPr>
          <w:rFonts w:ascii="Times New Roman" w:hAnsi="Times New Roman"/>
          <w:sz w:val="28"/>
          <w:szCs w:val="28"/>
          <w:lang w:val="en-US"/>
        </w:rPr>
        <w:t>I</w:t>
      </w:r>
      <w:r w:rsidRPr="00E956C5">
        <w:rPr>
          <w:rFonts w:ascii="Times New Roman" w:hAnsi="Times New Roman"/>
          <w:sz w:val="28"/>
          <w:szCs w:val="28"/>
        </w:rPr>
        <w:t xml:space="preserve"> и </w:t>
      </w:r>
      <w:r w:rsidRPr="00E956C5">
        <w:rPr>
          <w:rFonts w:ascii="Times New Roman" w:hAnsi="Times New Roman"/>
          <w:sz w:val="28"/>
          <w:szCs w:val="28"/>
          <w:lang w:val="en-US"/>
        </w:rPr>
        <w:t>II</w:t>
      </w:r>
      <w:r w:rsidRPr="00E956C5">
        <w:rPr>
          <w:rFonts w:ascii="Times New Roman" w:hAnsi="Times New Roman"/>
          <w:sz w:val="28"/>
          <w:szCs w:val="28"/>
        </w:rPr>
        <w:t xml:space="preserve"> фазы на базе </w:t>
      </w:r>
      <w:proofErr w:type="spellStart"/>
      <w:r w:rsidRPr="00E956C5">
        <w:rPr>
          <w:rFonts w:ascii="Times New Roman" w:hAnsi="Times New Roman"/>
          <w:sz w:val="28"/>
          <w:szCs w:val="28"/>
        </w:rPr>
        <w:t>КазНИИОиР</w:t>
      </w:r>
      <w:proofErr w:type="spellEnd"/>
    </w:p>
    <w:p w14:paraId="41A0AA24" w14:textId="77777777" w:rsidR="004D5AF3" w:rsidRPr="004D5AF3" w:rsidRDefault="004D5AF3" w:rsidP="009856D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D5AF3">
        <w:rPr>
          <w:rFonts w:ascii="Times New Roman" w:hAnsi="Times New Roman"/>
          <w:b/>
          <w:bCs/>
          <w:sz w:val="28"/>
          <w:szCs w:val="28"/>
        </w:rPr>
        <w:t>Выводы</w:t>
      </w:r>
    </w:p>
    <w:p w14:paraId="18CE130E" w14:textId="77777777" w:rsidR="00BF7826" w:rsidRPr="00BF7826" w:rsidRDefault="00BF7826" w:rsidP="00BF7826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Среди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100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пациентов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колоректальным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раком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включённых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исследование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преобладали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лица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возрасте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60–69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лет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(38 %, р = 0,021),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женщины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(56 %, р = 0,034)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пациенты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левосторонней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локализацией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(62 %, р = 0,018).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Средняя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длительность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анамнеза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составила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11,2 ± 2,7 мес.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Наиболее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часто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регистрировались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II (37 %) и III (41 %)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стадии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заболевания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(р &lt; 0,05). Мутация KRAS G12D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характерна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для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правостороннего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рака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толстой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кишки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чаще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«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дикий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тип»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имеет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низкую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дифференцировку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(χ2=22,8, p&lt;0,001),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характеризуется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более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длительным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периодом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госпитализации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16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[IQR, 14,00;32,00] (р= 0,007),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средняя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медиана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выживаемости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411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[IQR, 324,00; 583,00] (p &lt;0,001)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безрецидивность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467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[IQR, 301,00; 842,00] (р= 0,018).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время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как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 WT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встречался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левосторонней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локализации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рака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толстой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кишки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раке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прямой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кишки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характеризовался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умеренной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высокой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дифференцировкой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средняя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медиана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выживаемости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составила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1004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дня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[IQR, 749,00; 1069,00] (p &lt;0,001)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безрецидивность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627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[IQR, 456,00;1039,50] (р= 0,018).</w:t>
      </w:r>
    </w:p>
    <w:p w14:paraId="34BDC1E0" w14:textId="77777777" w:rsidR="00BF7826" w:rsidRPr="00BF7826" w:rsidRDefault="00BF7826" w:rsidP="00BF7826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гена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обнаружены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у 42 %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пациентов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основном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варианты G12D и G13D).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достоверно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чаще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встречались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левосторонней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локализации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(р = 0,018) и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группе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пациентов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низкодифференцированной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аденокарциномой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(р = 0,031).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Таким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образом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установлена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взаимосвязь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между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клинико-патологическими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характеристиками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статусом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KRAS.</w:t>
      </w:r>
    </w:p>
    <w:p w14:paraId="6EC37448" w14:textId="77777777" w:rsidR="00BF7826" w:rsidRPr="00BF7826" w:rsidRDefault="00BF7826" w:rsidP="00BF7826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F7826">
        <w:rPr>
          <w:rFonts w:ascii="Times New Roman" w:hAnsi="Times New Roman"/>
          <w:sz w:val="28"/>
          <w:szCs w:val="28"/>
          <w:lang w:val="kk-KZ"/>
        </w:rPr>
        <w:t xml:space="preserve">Комбинация 5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мкМ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ATO и 1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D-VC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вызвала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гибель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70% (р&lt; 0,01) KRAS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мутантных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раковых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клеток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AK 192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через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24 ч и 80% (р &lt; 0,05)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через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48 ч. 70% (р &lt; 0,01) и 90% (р &lt; 0,05)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апоптотических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клеток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наблюдались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после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комбинированной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обработки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5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мкМ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ATO и 1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D-VC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через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24 и 48 ч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соответственно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. ATO/D-VC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вызвала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7,3- и 7-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кратное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увеличение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lastRenderedPageBreak/>
        <w:t>митохондриальных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АФК (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mtROS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через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24 и 48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часов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соответственно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сравнению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контролем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Это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указывает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что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комбинация ATO/D-VC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более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эффективна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для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индукции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апоптоза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клеток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B50DA0D" w14:textId="77777777" w:rsidR="00BF7826" w:rsidRPr="00BF7826" w:rsidRDefault="00BF7826" w:rsidP="00BF7826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исследовании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vivo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модели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ксенотрансплантата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аденокарциномы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 G12D комбинация ATO + D-VC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достоверно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снижала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объём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63 % (р = 0,004)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сравнению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контролем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47 % (р = 0,012)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сравнению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монотерапией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D-VC.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Таким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образом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комбинированное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воздействие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обеспечивает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значимо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более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высокую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чувствительность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KRAS-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мутантных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применение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каждого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препарата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отдельно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>.</w:t>
      </w:r>
    </w:p>
    <w:p w14:paraId="47CA1424" w14:textId="77777777" w:rsidR="00BF7826" w:rsidRPr="00BF7826" w:rsidRDefault="00BF7826" w:rsidP="00BF7826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F7826">
        <w:rPr>
          <w:rFonts w:ascii="Times New Roman" w:hAnsi="Times New Roman"/>
          <w:sz w:val="28"/>
          <w:szCs w:val="28"/>
          <w:lang w:val="kk-KZ"/>
        </w:rPr>
        <w:t xml:space="preserve">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ходе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проведённых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исследований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установлено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что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комбинация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триоксида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мышьяка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(АТО)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аскорбиновой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кислоты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(D-VC)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обладает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выраженным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цитотоксическим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эффектом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отношении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опухолевых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клеток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мутацией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KRAS.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эксперименте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vitro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комбинация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вызывала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гибель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до 80 %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мутантных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клеток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через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48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часов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(р &lt; 0,05),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сопровождаясь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7-кратным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увеличением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уровня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митохондриальных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активных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форм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кислорода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сравнению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контролем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. В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опытах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vivo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модели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ксенотрансплантата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аденокарциномы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KRAS G12D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отмечено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снижение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объёма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опухоли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63 % (р = 0,004)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сравнению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контролем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47 % (р = 0,012)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сравнению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7826">
        <w:rPr>
          <w:rFonts w:ascii="Times New Roman" w:hAnsi="Times New Roman"/>
          <w:sz w:val="28"/>
          <w:szCs w:val="28"/>
          <w:lang w:val="kk-KZ"/>
        </w:rPr>
        <w:t>монотерапией</w:t>
      </w:r>
      <w:proofErr w:type="spellEnd"/>
      <w:r w:rsidRPr="00BF7826">
        <w:rPr>
          <w:rFonts w:ascii="Times New Roman" w:hAnsi="Times New Roman"/>
          <w:sz w:val="28"/>
          <w:szCs w:val="28"/>
          <w:lang w:val="kk-KZ"/>
        </w:rPr>
        <w:t xml:space="preserve"> D-VC. </w:t>
      </w:r>
    </w:p>
    <w:p w14:paraId="3F0068EC" w14:textId="5EEF7C47" w:rsidR="00B1078A" w:rsidRPr="00E84813" w:rsidRDefault="00B1078A" w:rsidP="00E84813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84813">
        <w:rPr>
          <w:rFonts w:ascii="Times New Roman" w:hAnsi="Times New Roman"/>
          <w:b/>
          <w:bCs/>
          <w:sz w:val="28"/>
          <w:szCs w:val="28"/>
        </w:rPr>
        <w:t>Апробация диссертации</w:t>
      </w:r>
    </w:p>
    <w:p w14:paraId="0DC5EC8C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70040174"/>
      <w:r w:rsidRPr="00B1078A">
        <w:rPr>
          <w:rFonts w:ascii="Times New Roman" w:hAnsi="Times New Roman"/>
          <w:sz w:val="28"/>
          <w:szCs w:val="28"/>
        </w:rPr>
        <w:t>Основные результаты исследования и положения диссертации доложены и обсуждены на:</w:t>
      </w:r>
    </w:p>
    <w:p w14:paraId="7D105CEB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– 13-ом Съезде онкологов и радиологов стран СНГ и Евразии, 27-29 апреля 2022г., онлайн.</w:t>
      </w:r>
    </w:p>
    <w:p w14:paraId="77C9AE0F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- Международной конференции Центра наук о жизни «</w:t>
      </w:r>
      <w:r w:rsidRPr="00B1078A">
        <w:rPr>
          <w:rFonts w:ascii="Times New Roman" w:hAnsi="Times New Roman"/>
          <w:sz w:val="28"/>
          <w:szCs w:val="28"/>
          <w:lang w:val="en-US"/>
        </w:rPr>
        <w:t>Modern</w:t>
      </w:r>
      <w:r w:rsidRPr="00B1078A">
        <w:rPr>
          <w:rFonts w:ascii="Times New Roman" w:hAnsi="Times New Roman"/>
          <w:sz w:val="28"/>
          <w:szCs w:val="28"/>
        </w:rPr>
        <w:t xml:space="preserve"> </w:t>
      </w:r>
      <w:r w:rsidRPr="00B1078A">
        <w:rPr>
          <w:rFonts w:ascii="Times New Roman" w:hAnsi="Times New Roman"/>
          <w:sz w:val="28"/>
          <w:szCs w:val="28"/>
          <w:lang w:val="en-US"/>
        </w:rPr>
        <w:t>perspectives</w:t>
      </w:r>
      <w:r w:rsidRPr="00B1078A">
        <w:rPr>
          <w:rFonts w:ascii="Times New Roman" w:hAnsi="Times New Roman"/>
          <w:sz w:val="28"/>
          <w:szCs w:val="28"/>
        </w:rPr>
        <w:t xml:space="preserve"> </w:t>
      </w:r>
      <w:r w:rsidRPr="00B1078A">
        <w:rPr>
          <w:rFonts w:ascii="Times New Roman" w:hAnsi="Times New Roman"/>
          <w:sz w:val="28"/>
          <w:szCs w:val="28"/>
          <w:lang w:val="en-US"/>
        </w:rPr>
        <w:t>for</w:t>
      </w:r>
      <w:r w:rsidRPr="00B1078A">
        <w:rPr>
          <w:rFonts w:ascii="Times New Roman" w:hAnsi="Times New Roman"/>
          <w:sz w:val="28"/>
          <w:szCs w:val="28"/>
        </w:rPr>
        <w:t xml:space="preserve"> </w:t>
      </w:r>
      <w:r w:rsidRPr="00B1078A">
        <w:rPr>
          <w:rFonts w:ascii="Times New Roman" w:hAnsi="Times New Roman"/>
          <w:sz w:val="28"/>
          <w:szCs w:val="28"/>
          <w:lang w:val="en-US"/>
        </w:rPr>
        <w:t>biomedical</w:t>
      </w:r>
      <w:r w:rsidRPr="00B10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78A">
        <w:rPr>
          <w:rFonts w:ascii="Times New Roman" w:hAnsi="Times New Roman"/>
          <w:sz w:val="28"/>
          <w:szCs w:val="28"/>
          <w:lang w:val="en-US"/>
        </w:rPr>
        <w:t>sciencies</w:t>
      </w:r>
      <w:proofErr w:type="spellEnd"/>
      <w:r w:rsidRPr="00B1078A">
        <w:rPr>
          <w:rFonts w:ascii="Times New Roman" w:hAnsi="Times New Roman"/>
          <w:sz w:val="28"/>
          <w:szCs w:val="28"/>
        </w:rPr>
        <w:t>», 20-21 октября 2022г., Астана, Казахстан.</w:t>
      </w:r>
    </w:p>
    <w:p w14:paraId="0F277E0C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- Международной научно-практической конференции «</w:t>
      </w:r>
      <w:r w:rsidRPr="00B1078A">
        <w:rPr>
          <w:rFonts w:ascii="Times New Roman" w:hAnsi="Times New Roman"/>
          <w:sz w:val="28"/>
          <w:szCs w:val="28"/>
          <w:lang w:val="kk-KZ"/>
        </w:rPr>
        <w:t>Онкологияға инновациялық технологияларды енгізудің тәжірибесі мен болашағы</w:t>
      </w:r>
      <w:r w:rsidRPr="00B1078A">
        <w:rPr>
          <w:rFonts w:ascii="Times New Roman" w:hAnsi="Times New Roman"/>
          <w:sz w:val="28"/>
          <w:szCs w:val="28"/>
        </w:rPr>
        <w:t>», 27-28 октября 2022г., Астана, Казахстан.</w:t>
      </w:r>
    </w:p>
    <w:p w14:paraId="791B4AED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- Международной научно-практической конференции молодых ученых и студентов «Наука и молодежь: открытия и перспективы», 12-13 апреля 2023г., Астана, Казахстан.</w:t>
      </w:r>
    </w:p>
    <w:p w14:paraId="27166B9F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- Международной научно-практической конференции «</w:t>
      </w:r>
      <w:proofErr w:type="spellStart"/>
      <w:r w:rsidRPr="00B1078A">
        <w:rPr>
          <w:rFonts w:ascii="Times New Roman" w:hAnsi="Times New Roman"/>
          <w:sz w:val="28"/>
          <w:szCs w:val="28"/>
          <w:lang w:val="kk-KZ"/>
        </w:rPr>
        <w:t>Замануи</w:t>
      </w:r>
      <w:proofErr w:type="spellEnd"/>
      <w:r w:rsidRPr="00B1078A">
        <w:rPr>
          <w:rFonts w:ascii="Times New Roman" w:hAnsi="Times New Roman"/>
          <w:sz w:val="28"/>
          <w:szCs w:val="28"/>
          <w:lang w:val="kk-KZ"/>
        </w:rPr>
        <w:t xml:space="preserve"> онкологияның инновациялары және жетістіктері, өзекті мәселелері</w:t>
      </w:r>
      <w:r w:rsidRPr="00B1078A">
        <w:rPr>
          <w:rFonts w:ascii="Times New Roman" w:hAnsi="Times New Roman"/>
          <w:sz w:val="28"/>
          <w:szCs w:val="28"/>
        </w:rPr>
        <w:t>», 23-24 ноября 2023г., Астана, Казахстан.</w:t>
      </w:r>
    </w:p>
    <w:p w14:paraId="222B809D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- 14-ом Съезд онкологов и радиологов стран СНГ и Евразии, посвященный 30-летию АДИОР СНГ и Евразии, 25-27 апреля 2024г., Душанбе, Таджикистан.</w:t>
      </w:r>
    </w:p>
    <w:bookmarkEnd w:id="1"/>
    <w:p w14:paraId="79F1D64E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078A">
        <w:rPr>
          <w:rFonts w:ascii="Times New Roman" w:hAnsi="Times New Roman"/>
          <w:sz w:val="28"/>
          <w:szCs w:val="28"/>
        </w:rPr>
        <w:t>– Расширенном заседании кафедры онкологии НАО «Медицинский университет Астана», 26 июня 2024г.</w:t>
      </w:r>
    </w:p>
    <w:p w14:paraId="4DB77548" w14:textId="77777777" w:rsidR="00B1078A" w:rsidRPr="00B1078A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078A">
        <w:rPr>
          <w:rFonts w:ascii="Times New Roman" w:hAnsi="Times New Roman"/>
          <w:b/>
          <w:sz w:val="28"/>
          <w:szCs w:val="28"/>
        </w:rPr>
        <w:t>Публикации по теме диссертации</w:t>
      </w:r>
    </w:p>
    <w:p w14:paraId="32B2D53E" w14:textId="3168CFBB" w:rsidR="008D6C51" w:rsidRPr="00905B11" w:rsidRDefault="008D6C51" w:rsidP="008D6C5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_Hlk213571220"/>
      <w:r w:rsidRPr="00905B11">
        <w:rPr>
          <w:rFonts w:ascii="Times New Roman" w:hAnsi="Times New Roman"/>
          <w:sz w:val="28"/>
          <w:szCs w:val="28"/>
        </w:rPr>
        <w:t>По результатам диссертационного исследования были опубликованы 1</w:t>
      </w:r>
      <w:r w:rsidR="00BF7826">
        <w:rPr>
          <w:rFonts w:ascii="Times New Roman" w:hAnsi="Times New Roman"/>
          <w:sz w:val="28"/>
          <w:szCs w:val="28"/>
        </w:rPr>
        <w:t>0</w:t>
      </w:r>
      <w:r w:rsidRPr="00905B11">
        <w:rPr>
          <w:rFonts w:ascii="Times New Roman" w:hAnsi="Times New Roman"/>
          <w:sz w:val="28"/>
          <w:szCs w:val="28"/>
        </w:rPr>
        <w:t xml:space="preserve"> работ, из них </w:t>
      </w:r>
      <w:r w:rsidR="00BF7826">
        <w:rPr>
          <w:rFonts w:ascii="Times New Roman" w:hAnsi="Times New Roman"/>
          <w:sz w:val="28"/>
          <w:szCs w:val="28"/>
        </w:rPr>
        <w:t>3</w:t>
      </w:r>
      <w:r w:rsidRPr="00905B11">
        <w:rPr>
          <w:rFonts w:ascii="Times New Roman" w:hAnsi="Times New Roman"/>
          <w:sz w:val="28"/>
          <w:szCs w:val="28"/>
        </w:rPr>
        <w:t xml:space="preserve"> в периодическ</w:t>
      </w:r>
      <w:r>
        <w:rPr>
          <w:rFonts w:ascii="Times New Roman" w:hAnsi="Times New Roman"/>
          <w:sz w:val="28"/>
          <w:szCs w:val="28"/>
        </w:rPr>
        <w:t>ом</w:t>
      </w:r>
      <w:r w:rsidRPr="00905B11">
        <w:rPr>
          <w:rFonts w:ascii="Times New Roman" w:hAnsi="Times New Roman"/>
          <w:sz w:val="28"/>
          <w:szCs w:val="28"/>
        </w:rPr>
        <w:t xml:space="preserve"> издани</w:t>
      </w:r>
      <w:r>
        <w:rPr>
          <w:rFonts w:ascii="Times New Roman" w:hAnsi="Times New Roman"/>
          <w:sz w:val="28"/>
          <w:szCs w:val="28"/>
        </w:rPr>
        <w:t>и</w:t>
      </w:r>
      <w:r w:rsidRPr="00905B11">
        <w:rPr>
          <w:rFonts w:ascii="Times New Roman" w:hAnsi="Times New Roman"/>
          <w:sz w:val="28"/>
          <w:szCs w:val="28"/>
        </w:rPr>
        <w:t xml:space="preserve">, рекомендуемые Комитетом по обеспечению качества в сфере образования и науки Министерства образования и науки Республики Казахстан, 2 статьи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05B11">
        <w:rPr>
          <w:rFonts w:ascii="Times New Roman" w:hAnsi="Times New Roman"/>
          <w:sz w:val="28"/>
          <w:szCs w:val="28"/>
        </w:rPr>
        <w:t xml:space="preserve">рецензируемых </w:t>
      </w:r>
      <w:r w:rsidRPr="00905B11">
        <w:rPr>
          <w:rFonts w:ascii="Times New Roman" w:hAnsi="Times New Roman"/>
          <w:sz w:val="28"/>
          <w:szCs w:val="28"/>
        </w:rPr>
        <w:lastRenderedPageBreak/>
        <w:t>международных журналах, индексированных в международных базах данных (</w:t>
      </w:r>
      <w:proofErr w:type="spellStart"/>
      <w:r w:rsidRPr="00905B11">
        <w:rPr>
          <w:rFonts w:ascii="Times New Roman" w:hAnsi="Times New Roman"/>
          <w:sz w:val="28"/>
          <w:szCs w:val="28"/>
        </w:rPr>
        <w:t>Scopus</w:t>
      </w:r>
      <w:proofErr w:type="spellEnd"/>
      <w:r w:rsidRPr="00905B11">
        <w:rPr>
          <w:rFonts w:ascii="Times New Roman" w:hAnsi="Times New Roman"/>
          <w:sz w:val="28"/>
          <w:szCs w:val="28"/>
        </w:rPr>
        <w:t xml:space="preserve">), </w:t>
      </w:r>
      <w:r w:rsidR="00BF7826">
        <w:rPr>
          <w:rFonts w:ascii="Times New Roman" w:hAnsi="Times New Roman"/>
          <w:sz w:val="28"/>
          <w:szCs w:val="28"/>
        </w:rPr>
        <w:t>3</w:t>
      </w:r>
      <w:r w:rsidRPr="00905B11">
        <w:rPr>
          <w:rFonts w:ascii="Times New Roman" w:hAnsi="Times New Roman"/>
          <w:sz w:val="28"/>
          <w:szCs w:val="28"/>
        </w:rPr>
        <w:t xml:space="preserve"> публикаци</w:t>
      </w:r>
      <w:r w:rsidR="00BF7826">
        <w:rPr>
          <w:rFonts w:ascii="Times New Roman" w:hAnsi="Times New Roman"/>
          <w:sz w:val="28"/>
          <w:szCs w:val="28"/>
        </w:rPr>
        <w:t>и</w:t>
      </w:r>
      <w:r w:rsidRPr="00905B11">
        <w:rPr>
          <w:rFonts w:ascii="Times New Roman" w:hAnsi="Times New Roman"/>
          <w:sz w:val="28"/>
          <w:szCs w:val="28"/>
        </w:rPr>
        <w:t xml:space="preserve"> в материалах международных и республиканских конференций (Казахстан, Россия, Таджикистан).</w:t>
      </w:r>
    </w:p>
    <w:p w14:paraId="11AB84B2" w14:textId="77777777" w:rsidR="008D6C51" w:rsidRDefault="008D6C51" w:rsidP="008D6C5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B11">
        <w:rPr>
          <w:rFonts w:ascii="Times New Roman" w:hAnsi="Times New Roman"/>
          <w:sz w:val="28"/>
          <w:szCs w:val="28"/>
        </w:rPr>
        <w:t>Получено 2 свидетельства о внесениях сведений в государственный реестр прав на объекты, охраняемых авторским правом (Приложение А</w:t>
      </w:r>
      <w:r>
        <w:rPr>
          <w:rFonts w:ascii="Times New Roman" w:hAnsi="Times New Roman"/>
          <w:sz w:val="28"/>
          <w:szCs w:val="28"/>
        </w:rPr>
        <w:t>,Б</w:t>
      </w:r>
      <w:r w:rsidRPr="00905B11">
        <w:rPr>
          <w:rFonts w:ascii="Times New Roman" w:hAnsi="Times New Roman"/>
          <w:sz w:val="28"/>
          <w:szCs w:val="28"/>
        </w:rPr>
        <w:t>), 3 акта внедрения в «Многопрофильный медицинский центр» акимата г. Астана</w:t>
      </w:r>
      <w:r>
        <w:rPr>
          <w:rFonts w:ascii="Times New Roman" w:hAnsi="Times New Roman"/>
          <w:sz w:val="28"/>
          <w:szCs w:val="28"/>
        </w:rPr>
        <w:t xml:space="preserve"> (Приложение В,Г,Д)</w:t>
      </w:r>
      <w:r w:rsidRPr="00905B11">
        <w:rPr>
          <w:rFonts w:ascii="Times New Roman" w:hAnsi="Times New Roman"/>
          <w:sz w:val="28"/>
          <w:szCs w:val="28"/>
        </w:rPr>
        <w:t>, и 1 акт внедрения в учебный процесс по дисциплине «Онкология» и «Онкология в стационаре» НАО «Медицинский университет Астана»</w:t>
      </w:r>
      <w:r>
        <w:rPr>
          <w:rFonts w:ascii="Times New Roman" w:hAnsi="Times New Roman"/>
          <w:sz w:val="28"/>
          <w:szCs w:val="28"/>
        </w:rPr>
        <w:t xml:space="preserve"> (Приложение Е)</w:t>
      </w:r>
      <w:r w:rsidRPr="00905B11">
        <w:rPr>
          <w:rFonts w:ascii="Times New Roman" w:hAnsi="Times New Roman"/>
          <w:sz w:val="28"/>
          <w:szCs w:val="28"/>
        </w:rPr>
        <w:t>.</w:t>
      </w:r>
    </w:p>
    <w:bookmarkEnd w:id="2"/>
    <w:p w14:paraId="42EA1090" w14:textId="77777777" w:rsidR="00087C0D" w:rsidRPr="00087C0D" w:rsidRDefault="00087C0D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87C0D">
        <w:rPr>
          <w:rFonts w:ascii="Times New Roman" w:hAnsi="Times New Roman"/>
          <w:b/>
          <w:sz w:val="28"/>
          <w:szCs w:val="28"/>
        </w:rPr>
        <w:t>Личный вклад диссертанта</w:t>
      </w:r>
    </w:p>
    <w:p w14:paraId="288A30AB" w14:textId="605CE4B6" w:rsidR="00AE66C3" w:rsidRDefault="00087C0D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C0D">
        <w:rPr>
          <w:rFonts w:ascii="Times New Roman" w:hAnsi="Times New Roman"/>
          <w:bCs/>
          <w:sz w:val="28"/>
          <w:szCs w:val="28"/>
        </w:rPr>
        <w:t>Работа выполнена в соответствии с направлением</w:t>
      </w:r>
      <w:r w:rsidRPr="00087C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7C0D">
        <w:rPr>
          <w:rFonts w:ascii="Times New Roman" w:hAnsi="Times New Roman"/>
          <w:color w:val="000000" w:themeColor="text1"/>
          <w:sz w:val="28"/>
          <w:szCs w:val="28"/>
        </w:rPr>
        <w:t>развития науки в области «</w:t>
      </w:r>
      <w:r w:rsidRPr="00087C0D">
        <w:rPr>
          <w:rFonts w:ascii="Times New Roman" w:hAnsi="Times New Roman"/>
          <w:sz w:val="28"/>
          <w:szCs w:val="28"/>
        </w:rPr>
        <w:t>Науки о жизни и здоровье</w:t>
      </w:r>
      <w:r w:rsidRPr="00087C0D">
        <w:rPr>
          <w:rFonts w:ascii="Times New Roman" w:hAnsi="Times New Roman"/>
          <w:color w:val="000000" w:themeColor="text1"/>
          <w:sz w:val="28"/>
          <w:szCs w:val="28"/>
        </w:rPr>
        <w:t>» утвержденным</w:t>
      </w:r>
      <w:r w:rsidRPr="00087C0D">
        <w:rPr>
          <w:rFonts w:ascii="Times New Roman" w:hAnsi="Times New Roman"/>
          <w:sz w:val="28"/>
          <w:szCs w:val="28"/>
        </w:rPr>
        <w:t xml:space="preserve"> Высшей научно-технической комиссией при Правительстве Республики Казахстан.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E9AC71" w14:textId="5D753405" w:rsidR="00B1078A" w:rsidRDefault="00B1078A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Диссертант самостоятельно проводил сбор клинического материала, брал информированное согласие на участие в проекте, сбор и </w:t>
      </w:r>
      <w:proofErr w:type="spellStart"/>
      <w:r>
        <w:rPr>
          <w:rFonts w:ascii="Times New Roman" w:hAnsi="Times New Roman"/>
          <w:sz w:val="28"/>
          <w:szCs w:val="28"/>
        </w:rPr>
        <w:t>аналихз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историй болезни и динамическое наблюдение больных с </w:t>
      </w:r>
      <w:proofErr w:type="spellStart"/>
      <w:r>
        <w:rPr>
          <w:rFonts w:ascii="Times New Roman" w:hAnsi="Times New Roman"/>
          <w:sz w:val="28"/>
          <w:szCs w:val="28"/>
        </w:rPr>
        <w:t>колоректальным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раком.</w:t>
      </w:r>
    </w:p>
    <w:p w14:paraId="5879C71E" w14:textId="2931BBBF" w:rsidR="00087C0D" w:rsidRDefault="00087C0D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Диссертант самостоятельно </w:t>
      </w:r>
      <w:r w:rsidR="00621D1C">
        <w:rPr>
          <w:rFonts w:ascii="Times New Roman" w:hAnsi="Times New Roman"/>
          <w:sz w:val="28"/>
          <w:szCs w:val="28"/>
        </w:rPr>
        <w:t xml:space="preserve">проводил сбор </w:t>
      </w:r>
      <w:r w:rsidR="00B1078A">
        <w:rPr>
          <w:rFonts w:ascii="Times New Roman" w:hAnsi="Times New Roman"/>
          <w:sz w:val="28"/>
          <w:szCs w:val="28"/>
        </w:rPr>
        <w:t>послеоперационного материала</w:t>
      </w:r>
      <w:r w:rsidR="00621D1C">
        <w:rPr>
          <w:rFonts w:ascii="Times New Roman" w:hAnsi="Times New Roman"/>
          <w:sz w:val="28"/>
          <w:szCs w:val="28"/>
        </w:rPr>
        <w:t xml:space="preserve">, </w:t>
      </w:r>
      <w:r w:rsidR="00B1078A">
        <w:rPr>
          <w:rFonts w:ascii="Times New Roman" w:hAnsi="Times New Roman"/>
          <w:sz w:val="28"/>
          <w:szCs w:val="28"/>
        </w:rPr>
        <w:t xml:space="preserve">занимался транспортировкой материала, участвовал в разработке моделей </w:t>
      </w:r>
      <w:proofErr w:type="spellStart"/>
      <w:r w:rsidR="00B1078A">
        <w:rPr>
          <w:rFonts w:ascii="Times New Roman" w:hAnsi="Times New Roman"/>
          <w:sz w:val="28"/>
          <w:szCs w:val="28"/>
        </w:rPr>
        <w:t>ксенографтов</w:t>
      </w:r>
      <w:proofErr w:type="spellEnd"/>
      <w:r w:rsidR="00B1078A">
        <w:rPr>
          <w:rFonts w:ascii="Times New Roman" w:hAnsi="Times New Roman"/>
          <w:sz w:val="28"/>
          <w:szCs w:val="28"/>
        </w:rPr>
        <w:t>, проводил инъекции исследуемых мышей, занимался вскрытием, забором крови и анализов мышей</w:t>
      </w:r>
      <w:r w:rsidR="00621D1C">
        <w:rPr>
          <w:rFonts w:ascii="Times New Roman" w:hAnsi="Times New Roman"/>
          <w:sz w:val="28"/>
          <w:szCs w:val="28"/>
        </w:rPr>
        <w:t xml:space="preserve">. </w:t>
      </w:r>
    </w:p>
    <w:p w14:paraId="52D8B02D" w14:textId="77777777" w:rsidR="00621D1C" w:rsidRDefault="00621D1C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21D1C">
        <w:rPr>
          <w:rFonts w:ascii="Times New Roman" w:hAnsi="Times New Roman"/>
          <w:bCs/>
          <w:sz w:val="28"/>
          <w:szCs w:val="28"/>
        </w:rPr>
        <w:t xml:space="preserve">Диссертант самостоятельно </w:t>
      </w:r>
      <w:r>
        <w:rPr>
          <w:rFonts w:ascii="Times New Roman" w:hAnsi="Times New Roman"/>
          <w:bCs/>
          <w:sz w:val="28"/>
          <w:szCs w:val="28"/>
        </w:rPr>
        <w:t>анализировал и обобщал полученные результаты исследования, проводил статистическую обработку данных.</w:t>
      </w:r>
    </w:p>
    <w:p w14:paraId="5DEB85DD" w14:textId="77777777" w:rsidR="00AE66C3" w:rsidRDefault="00AE66C3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и структура диссертации</w:t>
      </w:r>
    </w:p>
    <w:p w14:paraId="43164D4B" w14:textId="0A90B621" w:rsidR="00D64EC5" w:rsidRPr="00905B11" w:rsidRDefault="00D64EC5" w:rsidP="00D64EC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170159716"/>
      <w:r w:rsidRPr="00905B11">
        <w:rPr>
          <w:rFonts w:ascii="Times New Roman" w:hAnsi="Times New Roman"/>
          <w:sz w:val="28"/>
          <w:szCs w:val="28"/>
        </w:rPr>
        <w:t>Диссертация написана на русском языке, изложена на 1</w:t>
      </w:r>
      <w:r w:rsidR="00BF7826">
        <w:rPr>
          <w:rFonts w:ascii="Times New Roman" w:hAnsi="Times New Roman"/>
          <w:sz w:val="28"/>
          <w:szCs w:val="28"/>
        </w:rPr>
        <w:t>18</w:t>
      </w:r>
      <w:r w:rsidRPr="00905B11">
        <w:rPr>
          <w:rFonts w:ascii="Times New Roman" w:hAnsi="Times New Roman"/>
          <w:sz w:val="28"/>
          <w:szCs w:val="28"/>
        </w:rPr>
        <w:t xml:space="preserve"> страницах печатного компьютерного текста, включающая титульный лист, содержание, нормативные ссылки, определения, обозначения и сокращения, введение, основную часть, заключение, выводы, практические рекомендации и список использованной литературы. Диссертация иллюстрирована 4</w:t>
      </w:r>
      <w:r w:rsidR="009A2BBC">
        <w:rPr>
          <w:rFonts w:ascii="Times New Roman" w:hAnsi="Times New Roman"/>
          <w:sz w:val="28"/>
          <w:szCs w:val="28"/>
        </w:rPr>
        <w:t>7</w:t>
      </w:r>
      <w:r w:rsidRPr="00905B11">
        <w:rPr>
          <w:rFonts w:ascii="Times New Roman" w:hAnsi="Times New Roman"/>
          <w:sz w:val="28"/>
          <w:szCs w:val="28"/>
        </w:rPr>
        <w:t xml:space="preserve"> рисунками и 29 таблиц</w:t>
      </w:r>
      <w:r w:rsidRPr="00905B11">
        <w:rPr>
          <w:rFonts w:ascii="Times New Roman" w:hAnsi="Times New Roman"/>
          <w:sz w:val="28"/>
          <w:szCs w:val="28"/>
          <w:lang w:bidi="kn-IN"/>
        </w:rPr>
        <w:t>ами</w:t>
      </w:r>
      <w:r w:rsidRPr="00905B11">
        <w:rPr>
          <w:rFonts w:ascii="Times New Roman" w:hAnsi="Times New Roman"/>
          <w:sz w:val="28"/>
          <w:szCs w:val="28"/>
        </w:rPr>
        <w:t>. Список использованной литературы состоит из 9</w:t>
      </w:r>
      <w:r>
        <w:rPr>
          <w:rFonts w:ascii="Times New Roman" w:hAnsi="Times New Roman"/>
          <w:sz w:val="28"/>
          <w:szCs w:val="28"/>
        </w:rPr>
        <w:t>0</w:t>
      </w:r>
      <w:r w:rsidRPr="00905B11">
        <w:rPr>
          <w:rFonts w:ascii="Times New Roman" w:hAnsi="Times New Roman"/>
          <w:sz w:val="28"/>
          <w:szCs w:val="28"/>
        </w:rPr>
        <w:t xml:space="preserve"> источников.</w:t>
      </w:r>
    </w:p>
    <w:bookmarkEnd w:id="3"/>
    <w:p w14:paraId="289717F4" w14:textId="77777777" w:rsidR="00AE66C3" w:rsidRPr="00AE66C3" w:rsidRDefault="00AE66C3" w:rsidP="009856DF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7EAE40" w14:textId="77777777" w:rsidR="00AE66C3" w:rsidRPr="00AE66C3" w:rsidRDefault="00AE66C3" w:rsidP="009856DF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EFB972" w14:textId="77777777" w:rsidR="00BD333F" w:rsidRPr="00BD333F" w:rsidRDefault="00BD333F" w:rsidP="009856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D333F" w:rsidRPr="00BD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619CC"/>
    <w:multiLevelType w:val="hybridMultilevel"/>
    <w:tmpl w:val="D08E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939"/>
    <w:multiLevelType w:val="hybridMultilevel"/>
    <w:tmpl w:val="761C77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9363AF"/>
    <w:multiLevelType w:val="hybridMultilevel"/>
    <w:tmpl w:val="EDEE881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D9317A"/>
    <w:multiLevelType w:val="hybridMultilevel"/>
    <w:tmpl w:val="13E20DAC"/>
    <w:lvl w:ilvl="0" w:tplc="A3F8D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9F65DB"/>
    <w:multiLevelType w:val="hybridMultilevel"/>
    <w:tmpl w:val="FF68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5575"/>
    <w:multiLevelType w:val="hybridMultilevel"/>
    <w:tmpl w:val="8202E876"/>
    <w:lvl w:ilvl="0" w:tplc="780E0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5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AAF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0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E8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A5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C3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C6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CEE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7746A"/>
    <w:multiLevelType w:val="hybridMultilevel"/>
    <w:tmpl w:val="761C77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A37845"/>
    <w:multiLevelType w:val="hybridMultilevel"/>
    <w:tmpl w:val="062291BC"/>
    <w:lvl w:ilvl="0" w:tplc="20CCBE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792D2A"/>
    <w:multiLevelType w:val="hybridMultilevel"/>
    <w:tmpl w:val="34A02608"/>
    <w:lvl w:ilvl="0" w:tplc="4F1C4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0CB3"/>
    <w:multiLevelType w:val="hybridMultilevel"/>
    <w:tmpl w:val="A1A0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B1F"/>
    <w:multiLevelType w:val="hybridMultilevel"/>
    <w:tmpl w:val="10C228F8"/>
    <w:lvl w:ilvl="0" w:tplc="43381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5882">
    <w:abstractNumId w:val="10"/>
  </w:num>
  <w:num w:numId="2" w16cid:durableId="344404305">
    <w:abstractNumId w:val="8"/>
  </w:num>
  <w:num w:numId="3" w16cid:durableId="1177234161">
    <w:abstractNumId w:val="9"/>
  </w:num>
  <w:num w:numId="4" w16cid:durableId="612174148">
    <w:abstractNumId w:val="0"/>
  </w:num>
  <w:num w:numId="5" w16cid:durableId="24261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118422">
    <w:abstractNumId w:val="7"/>
  </w:num>
  <w:num w:numId="7" w16cid:durableId="1986009197">
    <w:abstractNumId w:val="6"/>
  </w:num>
  <w:num w:numId="8" w16cid:durableId="1475755203">
    <w:abstractNumId w:val="3"/>
  </w:num>
  <w:num w:numId="9" w16cid:durableId="1184393043">
    <w:abstractNumId w:val="1"/>
  </w:num>
  <w:num w:numId="10" w16cid:durableId="1452819972">
    <w:abstractNumId w:val="5"/>
  </w:num>
  <w:num w:numId="11" w16cid:durableId="69797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C"/>
    <w:rsid w:val="0006091A"/>
    <w:rsid w:val="00073350"/>
    <w:rsid w:val="00081BC6"/>
    <w:rsid w:val="00087C0D"/>
    <w:rsid w:val="000F2DE3"/>
    <w:rsid w:val="000F64FC"/>
    <w:rsid w:val="00105872"/>
    <w:rsid w:val="00120728"/>
    <w:rsid w:val="00123981"/>
    <w:rsid w:val="00145EB6"/>
    <w:rsid w:val="001510C2"/>
    <w:rsid w:val="00160753"/>
    <w:rsid w:val="0019561B"/>
    <w:rsid w:val="001A0ACD"/>
    <w:rsid w:val="001B2F21"/>
    <w:rsid w:val="0023661A"/>
    <w:rsid w:val="00274AF7"/>
    <w:rsid w:val="002F2120"/>
    <w:rsid w:val="00315894"/>
    <w:rsid w:val="003B31CE"/>
    <w:rsid w:val="00405366"/>
    <w:rsid w:val="00410AA0"/>
    <w:rsid w:val="004133EE"/>
    <w:rsid w:val="004234C2"/>
    <w:rsid w:val="0043637D"/>
    <w:rsid w:val="004D08FA"/>
    <w:rsid w:val="004D5AF3"/>
    <w:rsid w:val="005059C9"/>
    <w:rsid w:val="00571CE9"/>
    <w:rsid w:val="00584BED"/>
    <w:rsid w:val="00607E86"/>
    <w:rsid w:val="00621D1C"/>
    <w:rsid w:val="00674968"/>
    <w:rsid w:val="006A39B3"/>
    <w:rsid w:val="006D30CA"/>
    <w:rsid w:val="006D7D47"/>
    <w:rsid w:val="00700C5C"/>
    <w:rsid w:val="00720F6B"/>
    <w:rsid w:val="0074608F"/>
    <w:rsid w:val="0077469D"/>
    <w:rsid w:val="007827B7"/>
    <w:rsid w:val="00784CBB"/>
    <w:rsid w:val="007B43DA"/>
    <w:rsid w:val="00866B05"/>
    <w:rsid w:val="00895F15"/>
    <w:rsid w:val="008B47DB"/>
    <w:rsid w:val="008C2281"/>
    <w:rsid w:val="008D6C51"/>
    <w:rsid w:val="008F43B6"/>
    <w:rsid w:val="00911FE4"/>
    <w:rsid w:val="00945FCE"/>
    <w:rsid w:val="00982ED3"/>
    <w:rsid w:val="009856DF"/>
    <w:rsid w:val="009A2BBC"/>
    <w:rsid w:val="009B08E2"/>
    <w:rsid w:val="00AB1FF2"/>
    <w:rsid w:val="00AE66C3"/>
    <w:rsid w:val="00B1078A"/>
    <w:rsid w:val="00B14DAF"/>
    <w:rsid w:val="00B83B92"/>
    <w:rsid w:val="00B9082B"/>
    <w:rsid w:val="00BD333F"/>
    <w:rsid w:val="00BF7826"/>
    <w:rsid w:val="00CD263D"/>
    <w:rsid w:val="00D27255"/>
    <w:rsid w:val="00D44D93"/>
    <w:rsid w:val="00D64EC5"/>
    <w:rsid w:val="00D71E52"/>
    <w:rsid w:val="00DC4F55"/>
    <w:rsid w:val="00E101E2"/>
    <w:rsid w:val="00E20470"/>
    <w:rsid w:val="00E218A4"/>
    <w:rsid w:val="00E84813"/>
    <w:rsid w:val="00E956C5"/>
    <w:rsid w:val="00EA475F"/>
    <w:rsid w:val="00EC43F3"/>
    <w:rsid w:val="00EF0ED0"/>
    <w:rsid w:val="00F103F2"/>
    <w:rsid w:val="00F12A9E"/>
    <w:rsid w:val="00F42C19"/>
    <w:rsid w:val="00F5496C"/>
    <w:rsid w:val="00F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1025"/>
  <w15:docId w15:val="{EF386ADB-1D08-4498-82A1-4A5FC155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28"/>
    <w:rPr>
      <w:rFonts w:ascii="Calibri" w:eastAsia="Times New Roman" w:hAnsi="Calibri" w:cs="Times New Roman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28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120728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paragraph" w:styleId="a3">
    <w:name w:val="List Paragraph"/>
    <w:basedOn w:val="a"/>
    <w:link w:val="a4"/>
    <w:uiPriority w:val="34"/>
    <w:qFormat/>
    <w:rsid w:val="00DC4F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E8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rsid w:val="00B107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Асия Куканова</cp:lastModifiedBy>
  <cp:revision>2</cp:revision>
  <cp:lastPrinted>2022-04-18T09:29:00Z</cp:lastPrinted>
  <dcterms:created xsi:type="dcterms:W3CDTF">2025-11-09T04:01:00Z</dcterms:created>
  <dcterms:modified xsi:type="dcterms:W3CDTF">2025-11-09T04:01:00Z</dcterms:modified>
</cp:coreProperties>
</file>